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573A" w14:textId="77777777" w:rsidR="00071AB0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bookmarkStart w:id="0" w:name="_GoBack"/>
      <w:bookmarkEnd w:id="0"/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117D5950" w14:textId="77777777" w:rsidR="00071AB0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 w:rsidRPr="00AE588E">
        <w:rPr>
          <w:rFonts w:ascii="Calibri" w:hAnsi="Calibri" w:cs="Calibri"/>
          <w:bCs/>
          <w:sz w:val="40"/>
          <w:szCs w:val="52"/>
        </w:rPr>
        <w:t xml:space="preserve">Institut </w:t>
      </w:r>
      <w:proofErr w:type="spellStart"/>
      <w:r w:rsidRPr="00AE588E">
        <w:rPr>
          <w:rFonts w:ascii="Calibri" w:hAnsi="Calibri" w:cs="Calibri"/>
          <w:bCs/>
          <w:sz w:val="40"/>
          <w:szCs w:val="52"/>
        </w:rPr>
        <w:t>für</w:t>
      </w:r>
      <w:proofErr w:type="spellEnd"/>
      <w:r w:rsidRPr="00AE588E">
        <w:rPr>
          <w:rFonts w:ascii="Calibri" w:hAnsi="Calibri" w:cs="Calibri"/>
          <w:bCs/>
          <w:sz w:val="40"/>
          <w:szCs w:val="52"/>
        </w:rPr>
        <w:t xml:space="preserve"> Exp</w:t>
      </w:r>
      <w:r>
        <w:rPr>
          <w:rFonts w:ascii="Calibri" w:hAnsi="Calibri" w:cs="Calibri"/>
          <w:bCs/>
          <w:sz w:val="40"/>
          <w:szCs w:val="52"/>
        </w:rPr>
        <w:t>erimentelle</w:t>
      </w:r>
      <w:r w:rsidRPr="00AE588E">
        <w:rPr>
          <w:rFonts w:ascii="Calibri" w:hAnsi="Calibri" w:cs="Calibri"/>
          <w:bCs/>
          <w:sz w:val="40"/>
          <w:szCs w:val="52"/>
        </w:rPr>
        <w:t xml:space="preserve"> Biomedizin, Lehrstuhl I</w:t>
      </w:r>
      <w:r>
        <w:rPr>
          <w:rFonts w:ascii="Calibri" w:hAnsi="Calibri" w:cs="Calibri"/>
          <w:bCs/>
          <w:sz w:val="40"/>
          <w:szCs w:val="52"/>
        </w:rPr>
        <w:t>, AG Schulze</w:t>
      </w:r>
    </w:p>
    <w:p w14:paraId="10D814AD" w14:textId="77777777" w:rsidR="00071AB0" w:rsidRPr="00212BE9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  <w:r>
        <w:rPr>
          <w:rFonts w:ascii="Calibri" w:hAnsi="Calibri" w:cs="Calibri"/>
          <w:bCs/>
          <w:sz w:val="40"/>
          <w:szCs w:val="52"/>
        </w:rPr>
        <w:t>Medizinische Klinik I, Internistische Intensiv- und Notfallmedizin</w:t>
      </w:r>
    </w:p>
    <w:p w14:paraId="4C9DF6AE" w14:textId="616A2742" w:rsidR="00071AB0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 xml:space="preserve">Ausschreibung vom: </w:t>
      </w:r>
      <w:r>
        <w:rPr>
          <w:rFonts w:ascii="Calibri" w:hAnsi="Calibri" w:cs="Calibri"/>
          <w:bCs/>
          <w:szCs w:val="52"/>
        </w:rPr>
        <w:t>16</w:t>
      </w:r>
      <w:r>
        <w:rPr>
          <w:rFonts w:ascii="Calibri" w:hAnsi="Calibri" w:cs="Calibri"/>
          <w:bCs/>
          <w:szCs w:val="52"/>
        </w:rPr>
        <w:t xml:space="preserve">. </w:t>
      </w:r>
      <w:r>
        <w:rPr>
          <w:rFonts w:ascii="Calibri" w:hAnsi="Calibri" w:cs="Calibri"/>
          <w:bCs/>
          <w:szCs w:val="52"/>
        </w:rPr>
        <w:t>Mai</w:t>
      </w:r>
      <w:r>
        <w:rPr>
          <w:rFonts w:ascii="Calibri" w:hAnsi="Calibri" w:cs="Calibri"/>
          <w:bCs/>
          <w:szCs w:val="52"/>
        </w:rPr>
        <w:t xml:space="preserve"> 202</w:t>
      </w:r>
      <w:r>
        <w:rPr>
          <w:rFonts w:ascii="Calibri" w:hAnsi="Calibri" w:cs="Calibri"/>
          <w:bCs/>
          <w:szCs w:val="52"/>
        </w:rPr>
        <w:t>4</w:t>
      </w:r>
    </w:p>
    <w:p w14:paraId="630D5623" w14:textId="77777777" w:rsidR="00071AB0" w:rsidRPr="00212BE9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14:paraId="11AE7042" w14:textId="77777777" w:rsidR="00071AB0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14:paraId="6C154AE6" w14:textId="77777777" w:rsidR="00071AB0" w:rsidRPr="00893EA7" w:rsidRDefault="00071AB0" w:rsidP="00071A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Calibri" w:hAnsi="Calibri" w:cs="Calibri"/>
          <w:bCs/>
          <w:szCs w:val="52"/>
        </w:rPr>
        <w:instrText xml:space="preserve"> FORMCHECKBOX </w:instrText>
      </w:r>
      <w:r>
        <w:rPr>
          <w:rFonts w:ascii="Calibri" w:hAnsi="Calibri" w:cs="Calibri"/>
          <w:bCs/>
          <w:szCs w:val="52"/>
        </w:rPr>
      </w:r>
      <w:r>
        <w:rPr>
          <w:rFonts w:ascii="Calibri" w:hAnsi="Calibri" w:cs="Calibri"/>
          <w:bCs/>
          <w:szCs w:val="52"/>
        </w:rPr>
        <w:fldChar w:fldCharType="separate"/>
      </w:r>
      <w:r>
        <w:rPr>
          <w:rFonts w:ascii="Calibri" w:hAnsi="Calibri" w:cs="Calibri"/>
          <w:bCs/>
          <w:szCs w:val="52"/>
        </w:rPr>
        <w:fldChar w:fldCharType="end"/>
      </w:r>
      <w:bookmarkEnd w:id="1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Calibri" w:hAnsi="Calibri" w:cs="Calibri"/>
          <w:bCs/>
          <w:szCs w:val="52"/>
        </w:rPr>
        <w:instrText xml:space="preserve"> FORMCHECKBOX </w:instrText>
      </w:r>
      <w:r>
        <w:rPr>
          <w:rFonts w:ascii="Calibri" w:hAnsi="Calibri" w:cs="Calibri"/>
          <w:bCs/>
          <w:szCs w:val="52"/>
        </w:rPr>
      </w:r>
      <w:r>
        <w:rPr>
          <w:rFonts w:ascii="Calibri" w:hAnsi="Calibri" w:cs="Calibri"/>
          <w:bCs/>
          <w:szCs w:val="52"/>
        </w:rPr>
        <w:fldChar w:fldCharType="separate"/>
      </w:r>
      <w:r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experimentell </w:t>
      </w:r>
      <w:r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3"/>
      <w:r>
        <w:rPr>
          <w:rFonts w:ascii="Calibri" w:hAnsi="Calibri" w:cs="Calibri"/>
          <w:bCs/>
          <w:szCs w:val="52"/>
        </w:rPr>
        <w:instrText xml:space="preserve"> FORMCHECKBOX </w:instrText>
      </w:r>
      <w:r>
        <w:rPr>
          <w:rFonts w:ascii="Calibri" w:hAnsi="Calibri" w:cs="Calibri"/>
          <w:bCs/>
          <w:szCs w:val="52"/>
        </w:rPr>
      </w:r>
      <w:r>
        <w:rPr>
          <w:rFonts w:ascii="Calibri" w:hAnsi="Calibri" w:cs="Calibri"/>
          <w:bCs/>
          <w:szCs w:val="52"/>
        </w:rPr>
        <w:fldChar w:fldCharType="separate"/>
      </w:r>
      <w:r>
        <w:rPr>
          <w:rFonts w:ascii="Calibri" w:hAnsi="Calibri" w:cs="Calibri"/>
          <w:bCs/>
          <w:szCs w:val="52"/>
        </w:rPr>
        <w:fldChar w:fldCharType="end"/>
      </w:r>
      <w:bookmarkEnd w:id="3"/>
      <w:r w:rsidRPr="00893EA7">
        <w:rPr>
          <w:rFonts w:ascii="Calibri" w:hAnsi="Calibri" w:cs="Calibri"/>
          <w:bCs/>
          <w:szCs w:val="52"/>
        </w:rPr>
        <w:t xml:space="preserve"> </w:t>
      </w:r>
      <w:r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>
        <w:rPr>
          <w:rFonts w:ascii="Calibri" w:hAnsi="Calibri" w:cs="Calibri"/>
          <w:bCs/>
          <w:szCs w:val="52"/>
        </w:rPr>
      </w:r>
      <w:r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4"/>
    </w:p>
    <w:p w14:paraId="07E738DE" w14:textId="77777777" w:rsidR="00071AB0" w:rsidRPr="00A6688E" w:rsidRDefault="00071AB0" w:rsidP="00071AB0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071AB0" w14:paraId="7EBCAA31" w14:textId="77777777" w:rsidTr="001E5573">
        <w:tc>
          <w:tcPr>
            <w:tcW w:w="10060" w:type="dxa"/>
          </w:tcPr>
          <w:p w14:paraId="4C7D51EC" w14:textId="77777777" w:rsidR="00071AB0" w:rsidRPr="00A6688E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der Doktorarbeit: </w:t>
            </w:r>
          </w:p>
        </w:tc>
      </w:tr>
      <w:tr w:rsidR="00071AB0" w14:paraId="14C0512B" w14:textId="77777777" w:rsidTr="001E5573">
        <w:trPr>
          <w:trHeight w:val="576"/>
        </w:trPr>
        <w:tc>
          <w:tcPr>
            <w:tcW w:w="10060" w:type="dxa"/>
          </w:tcPr>
          <w:p w14:paraId="26DA0360" w14:textId="77777777" w:rsidR="00071AB0" w:rsidRPr="005804BB" w:rsidRDefault="00071AB0" w:rsidP="001E5573">
            <w:pPr>
              <w:pStyle w:val="StandardWeb"/>
            </w:pPr>
            <w:r>
              <w:rPr>
                <w:rFonts w:ascii="Calibri" w:hAnsi="Calibri" w:cs="Calibri"/>
                <w:sz w:val="26"/>
                <w:szCs w:val="26"/>
              </w:rPr>
              <w:t xml:space="preserve">Regulation der Thrombozytenfunktion bei Patienten mit Infektion und Sepsis </w:t>
            </w:r>
          </w:p>
        </w:tc>
      </w:tr>
      <w:tr w:rsidR="00071AB0" w14:paraId="01D35247" w14:textId="77777777" w:rsidTr="001E5573">
        <w:trPr>
          <w:trHeight w:val="310"/>
        </w:trPr>
        <w:tc>
          <w:tcPr>
            <w:tcW w:w="10060" w:type="dxa"/>
          </w:tcPr>
          <w:p w14:paraId="30F6A98D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*BetreuerInnen: </w:t>
            </w:r>
          </w:p>
        </w:tc>
      </w:tr>
      <w:tr w:rsidR="00071AB0" w14:paraId="10B10D9C" w14:textId="77777777" w:rsidTr="001E5573">
        <w:trPr>
          <w:trHeight w:val="576"/>
        </w:trPr>
        <w:tc>
          <w:tcPr>
            <w:tcW w:w="10060" w:type="dxa"/>
          </w:tcPr>
          <w:p w14:paraId="23082F48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Doktorvater: </w:t>
            </w:r>
            <w:r w:rsidRPr="007A263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Prof. Dr. Harald Schulze, Institut für Experimentelle Biomedizin</w:t>
            </w:r>
          </w:p>
          <w:p w14:paraId="0C0AAD8F" w14:textId="77777777" w:rsidR="00071AB0" w:rsidRPr="00644BF8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Dr. </w:t>
            </w:r>
            <w:r w:rsidRPr="007A263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Lukas Weiß, Medizinische Klinik I Abteilung für Kardiologie</w:t>
            </w:r>
          </w:p>
        </w:tc>
      </w:tr>
      <w:tr w:rsidR="00071AB0" w14:paraId="58688977" w14:textId="77777777" w:rsidTr="001E5573">
        <w:tc>
          <w:tcPr>
            <w:tcW w:w="10060" w:type="dxa"/>
          </w:tcPr>
          <w:p w14:paraId="7363D829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071AB0" w14:paraId="528CDB05" w14:textId="77777777" w:rsidTr="001E5573">
        <w:trPr>
          <w:trHeight w:val="801"/>
        </w:trPr>
        <w:tc>
          <w:tcPr>
            <w:tcW w:w="10060" w:type="dxa"/>
          </w:tcPr>
          <w:p w14:paraId="3D6E7BB6" w14:textId="19EB238E" w:rsidR="00071AB0" w:rsidRPr="00F54E64" w:rsidRDefault="00071AB0" w:rsidP="001E5573">
            <w:pPr>
              <w:pStyle w:val="Standard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Sepsis ist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eine 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schwere systemisch-inflammatorische </w:t>
            </w:r>
            <w:proofErr w:type="gramStart"/>
            <w:r w:rsidRPr="00F54E64">
              <w:rPr>
                <w:rFonts w:asciiTheme="minorHAnsi" w:hAnsiTheme="minorHAnsi" w:cstheme="minorHAnsi"/>
                <w:sz w:val="22"/>
                <w:szCs w:val="22"/>
              </w:rPr>
              <w:t>Erkrankung</w:t>
            </w:r>
            <w:proofErr w:type="gramEnd"/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 an welcher jedes Jahr weltweit über 20 Millionen Menschen erkranken. Blutung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 und (Mikro-)Thrombosen sind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ein 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wesentlicher Grund der Endorganschädigung bei Sepsis.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konnten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 in mehreren Arbeiten zeigen, dass sich unter einer Sepsis die Thrombozyten grundlegend veränder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urch gezieltes </w:t>
            </w:r>
            <w:proofErr w:type="spellStart"/>
            <w:r w:rsidRPr="003733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targeting</w:t>
            </w:r>
            <w:proofErr w:type="spellEnd"/>
            <w:r w:rsidRPr="003733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verschiedener Signalkaskaden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kann 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>die Funktion der Thrombozyten modulier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werden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 xml:space="preserve"> und so Komplikationen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Sepsis reduziert </w:t>
            </w:r>
            <w:r w:rsidRPr="00F54E64">
              <w:rPr>
                <w:rFonts w:asciiTheme="minorHAnsi" w:hAnsiTheme="minorHAnsi" w:cstheme="minorHAnsi"/>
                <w:sz w:val="22"/>
                <w:szCs w:val="22"/>
              </w:rPr>
              <w:t>und das Outcome der Patienten verbesser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werden. Die Studienlogistik zwischen der Medizinischen Klinik I und dem Institut für Experimentelle Biomedizin besteht seit mehreren Jahren und ist gut etabliert.</w:t>
            </w:r>
          </w:p>
        </w:tc>
      </w:tr>
      <w:tr w:rsidR="00071AB0" w14:paraId="274184A3" w14:textId="77777777" w:rsidTr="001E5573">
        <w:tc>
          <w:tcPr>
            <w:tcW w:w="10060" w:type="dxa"/>
          </w:tcPr>
          <w:p w14:paraId="00BB29DC" w14:textId="77777777" w:rsidR="00071AB0" w:rsidRPr="00312D23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071AB0" w14:paraId="28D555A1" w14:textId="77777777" w:rsidTr="001E5573">
        <w:trPr>
          <w:trHeight w:val="931"/>
        </w:trPr>
        <w:tc>
          <w:tcPr>
            <w:tcW w:w="10060" w:type="dxa"/>
          </w:tcPr>
          <w:p w14:paraId="178A1F09" w14:textId="77777777" w:rsidR="00071AB0" w:rsidRPr="002E4608" w:rsidRDefault="00071AB0" w:rsidP="001E55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Der Promovend fertigt eine experimentelle Doktorarbeit an, die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über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die GSLS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gefördert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werden sollte. In enger Zusammenarbeit mit der Intensivstation und der Internistischen Notaufnahmen werden Patienten mit Infektionserkrankungen und Sepsis rekrutiert. Mittels verschiedener Methoden (Durchflusszytometrie,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point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-of care Analysen, Thrombosemodelle) werden Schlüsselsignalkaskaden der Thrombozyten untersucht und der Effekt verschiedener Therapeutika untersucht. Besonders die Interaktion zwischen Thrombozyten und Leukozyten bei Sepsis wird untersucht.</w:t>
            </w:r>
          </w:p>
        </w:tc>
      </w:tr>
      <w:tr w:rsidR="00071AB0" w14:paraId="6C48A541" w14:textId="77777777" w:rsidTr="001E5573">
        <w:tc>
          <w:tcPr>
            <w:tcW w:w="10060" w:type="dxa"/>
          </w:tcPr>
          <w:p w14:paraId="1B42C9E9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071AB0" w14:paraId="11424D37" w14:textId="77777777" w:rsidTr="001E5573">
        <w:trPr>
          <w:trHeight w:val="750"/>
        </w:trPr>
        <w:tc>
          <w:tcPr>
            <w:tcW w:w="10060" w:type="dxa"/>
          </w:tcPr>
          <w:p w14:paraId="39F89A40" w14:textId="77777777" w:rsidR="00071AB0" w:rsidRPr="00961A5B" w:rsidRDefault="00071AB0" w:rsidP="001E5573">
            <w:pPr>
              <w:pStyle w:val="Standard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 Promovend sollte sich im klinischen Studienabschnitt befinden und Interesse an Intensivmedizin haben.</w:t>
            </w:r>
          </w:p>
        </w:tc>
      </w:tr>
      <w:tr w:rsidR="00071AB0" w:rsidRPr="00071AB0" w14:paraId="7EF48CDB" w14:textId="77777777" w:rsidTr="001E5573">
        <w:tc>
          <w:tcPr>
            <w:tcW w:w="10060" w:type="dxa"/>
          </w:tcPr>
          <w:p w14:paraId="3798E0CB" w14:textId="77777777" w:rsidR="00071AB0" w:rsidRPr="00A8003C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(Graduate School of Life Science, GSLS) </w:t>
            </w:r>
          </w:p>
        </w:tc>
      </w:tr>
      <w:tr w:rsidR="00071AB0" w14:paraId="744FCDBA" w14:textId="77777777" w:rsidTr="001E5573">
        <w:trPr>
          <w:trHeight w:val="431"/>
        </w:trPr>
        <w:tc>
          <w:tcPr>
            <w:tcW w:w="10060" w:type="dxa"/>
          </w:tcPr>
          <w:p w14:paraId="06CCA7D8" w14:textId="77777777" w:rsidR="00071AB0" w:rsidRPr="00A6688E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5"/>
            <w:r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>
              <w:rPr>
                <w:rFonts w:ascii="Calibri" w:hAnsi="Calibri" w:cs="Calibri"/>
                <w:sz w:val="26"/>
                <w:szCs w:val="26"/>
              </w:rPr>
            </w:r>
            <w:r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5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>
              <w:rPr>
                <w:rFonts w:ascii="Calibri" w:hAnsi="Calibri" w:cs="Calibri"/>
                <w:sz w:val="26"/>
                <w:szCs w:val="26"/>
              </w:rPr>
            </w:r>
            <w:r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6"/>
          </w:p>
        </w:tc>
      </w:tr>
      <w:tr w:rsidR="00071AB0" w14:paraId="3719388A" w14:textId="77777777" w:rsidTr="001E5573">
        <w:trPr>
          <w:trHeight w:val="422"/>
        </w:trPr>
        <w:tc>
          <w:tcPr>
            <w:tcW w:w="10060" w:type="dxa"/>
          </w:tcPr>
          <w:p w14:paraId="3494449E" w14:textId="77777777" w:rsidR="00071AB0" w:rsidRPr="00A6688E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071AB0" w14:paraId="1AFC34B5" w14:textId="77777777" w:rsidTr="001E5573">
        <w:trPr>
          <w:trHeight w:val="424"/>
        </w:trPr>
        <w:tc>
          <w:tcPr>
            <w:tcW w:w="10060" w:type="dxa"/>
          </w:tcPr>
          <w:p w14:paraId="5D9AE97C" w14:textId="77777777" w:rsidR="00071AB0" w:rsidRPr="002E4608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61A5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Ein Freisemester</w:t>
            </w:r>
          </w:p>
        </w:tc>
      </w:tr>
      <w:tr w:rsidR="00071AB0" w14:paraId="1244ED38" w14:textId="77777777" w:rsidTr="001E5573">
        <w:trPr>
          <w:trHeight w:val="338"/>
        </w:trPr>
        <w:tc>
          <w:tcPr>
            <w:tcW w:w="10060" w:type="dxa"/>
          </w:tcPr>
          <w:p w14:paraId="587EC47E" w14:textId="77777777" w:rsidR="00071AB0" w:rsidRPr="00A6688E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071AB0" w14:paraId="21315BA5" w14:textId="77777777" w:rsidTr="001E5573">
        <w:trPr>
          <w:trHeight w:val="379"/>
        </w:trPr>
        <w:tc>
          <w:tcPr>
            <w:tcW w:w="10060" w:type="dxa"/>
          </w:tcPr>
          <w:p w14:paraId="794D2FD8" w14:textId="77777777" w:rsidR="00071AB0" w:rsidRPr="002E4608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color w:val="0070C0"/>
                <w:sz w:val="26"/>
                <w:szCs w:val="26"/>
              </w:rPr>
              <w:t>J</w:t>
            </w:r>
            <w:r w:rsidRPr="00961A5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</w:t>
            </w:r>
          </w:p>
        </w:tc>
      </w:tr>
      <w:tr w:rsidR="00071AB0" w14:paraId="6D0C0CEF" w14:textId="77777777" w:rsidTr="001E5573">
        <w:tc>
          <w:tcPr>
            <w:tcW w:w="10060" w:type="dxa"/>
          </w:tcPr>
          <w:p w14:paraId="7D958B40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071AB0" w14:paraId="308349EA" w14:textId="77777777" w:rsidTr="001E5573">
        <w:trPr>
          <w:trHeight w:val="416"/>
        </w:trPr>
        <w:tc>
          <w:tcPr>
            <w:tcW w:w="10060" w:type="dxa"/>
          </w:tcPr>
          <w:p w14:paraId="0259223E" w14:textId="77777777" w:rsidR="00071AB0" w:rsidRPr="002E4608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61A5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Die Projektfinanzierung ist durch bewilligte Anträge (</w:t>
            </w:r>
            <w:proofErr w:type="spellStart"/>
            <w:r w:rsidRPr="00961A5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izkf</w:t>
            </w:r>
            <w:proofErr w:type="spellEnd"/>
            <w:r w:rsidRPr="00961A5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, SFB1525) und Hausmittel gesichert</w:t>
            </w:r>
          </w:p>
        </w:tc>
      </w:tr>
      <w:tr w:rsidR="00071AB0" w14:paraId="1136F86F" w14:textId="77777777" w:rsidTr="001E5573">
        <w:tc>
          <w:tcPr>
            <w:tcW w:w="10060" w:type="dxa"/>
          </w:tcPr>
          <w:p w14:paraId="37B761FD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071AB0" w14:paraId="7449F9C2" w14:textId="77777777" w:rsidTr="001E5573">
        <w:trPr>
          <w:trHeight w:val="397"/>
        </w:trPr>
        <w:tc>
          <w:tcPr>
            <w:tcW w:w="10060" w:type="dxa"/>
          </w:tcPr>
          <w:p w14:paraId="04E585C8" w14:textId="77777777" w:rsidR="00071AB0" w:rsidRPr="002E4608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61A5B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Ein gültiges Ethikvotum liegt vor</w:t>
            </w:r>
          </w:p>
        </w:tc>
      </w:tr>
      <w:tr w:rsidR="00071AB0" w14:paraId="67CBC990" w14:textId="77777777" w:rsidTr="001E5573">
        <w:trPr>
          <w:trHeight w:val="103"/>
        </w:trPr>
        <w:tc>
          <w:tcPr>
            <w:tcW w:w="10060" w:type="dxa"/>
          </w:tcPr>
          <w:p w14:paraId="54FF78D8" w14:textId="77777777" w:rsidR="00071AB0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071AB0" w:rsidRPr="00AE61F9" w14:paraId="7ED533BD" w14:textId="77777777" w:rsidTr="001E5573">
        <w:trPr>
          <w:trHeight w:val="406"/>
        </w:trPr>
        <w:tc>
          <w:tcPr>
            <w:tcW w:w="10060" w:type="dxa"/>
          </w:tcPr>
          <w:p w14:paraId="10008403" w14:textId="77777777" w:rsidR="00071AB0" w:rsidRPr="00AE61F9" w:rsidRDefault="00071AB0" w:rsidP="001E5573">
            <w:pPr>
              <w:pStyle w:val="Standard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Lukas Weiß: Weiss_L2@ukw.de; </w:t>
            </w:r>
            <w:r w:rsidRPr="00AE61F9">
              <w:rPr>
                <w:rFonts w:ascii="Calibri" w:hAnsi="Calibri" w:cs="Calibri"/>
                <w:sz w:val="22"/>
                <w:szCs w:val="22"/>
              </w:rPr>
              <w:t>Prof. Harald Schulze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AE61F9">
              <w:rPr>
                <w:rFonts w:ascii="Calibri" w:hAnsi="Calibri" w:cs="Calibri"/>
                <w:sz w:val="22"/>
                <w:szCs w:val="22"/>
              </w:rPr>
              <w:t xml:space="preserve"> harald.schulze@uni-wue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AE61F9">
              <w:rPr>
                <w:rFonts w:ascii="Calibri" w:hAnsi="Calibri" w:cs="Calibri"/>
                <w:sz w:val="22"/>
                <w:szCs w:val="22"/>
              </w:rPr>
              <w:t xml:space="preserve">zburg.de </w:t>
            </w:r>
          </w:p>
        </w:tc>
      </w:tr>
      <w:tr w:rsidR="00071AB0" w14:paraId="235D7123" w14:textId="77777777" w:rsidTr="001E5573">
        <w:trPr>
          <w:trHeight w:val="449"/>
        </w:trPr>
        <w:tc>
          <w:tcPr>
            <w:tcW w:w="10060" w:type="dxa"/>
          </w:tcPr>
          <w:p w14:paraId="542ED2E5" w14:textId="77777777" w:rsidR="00071AB0" w:rsidRPr="002E4608" w:rsidRDefault="00071AB0" w:rsidP="001E55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071AB0" w14:paraId="2C46D5D8" w14:textId="77777777" w:rsidTr="001E5573">
        <w:trPr>
          <w:trHeight w:val="391"/>
        </w:trPr>
        <w:tc>
          <w:tcPr>
            <w:tcW w:w="10060" w:type="dxa"/>
          </w:tcPr>
          <w:p w14:paraId="52CA0C4D" w14:textId="77777777" w:rsidR="00071AB0" w:rsidRPr="00190BF1" w:rsidRDefault="00071AB0" w:rsidP="001E5573">
            <w:pPr>
              <w:pStyle w:val="Standard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Weitere Infos zur Arbeitsgruppe unter www.schulze-lab.de </w:t>
            </w:r>
          </w:p>
        </w:tc>
      </w:tr>
    </w:tbl>
    <w:p w14:paraId="3E4B85F7" w14:textId="77777777" w:rsidR="008E623B" w:rsidRDefault="008E623B"/>
    <w:sectPr w:rsidR="008E623B" w:rsidSect="009826A6">
      <w:footerReference w:type="default" r:id="rId5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530B" w14:textId="77777777" w:rsidR="00000000" w:rsidRDefault="00000000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5FEF"/>
    <w:multiLevelType w:val="multilevel"/>
    <w:tmpl w:val="833E4FB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418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8"/>
        </w:tabs>
        <w:ind w:left="2438" w:hanging="243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C1091A"/>
    <w:multiLevelType w:val="multilevel"/>
    <w:tmpl w:val="C5084F26"/>
    <w:lvl w:ilvl="0">
      <w:start w:val="1"/>
      <w:numFmt w:val="decimal"/>
      <w:pStyle w:val="dipl-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9721935">
    <w:abstractNumId w:val="0"/>
  </w:num>
  <w:num w:numId="2" w16cid:durableId="14314595">
    <w:abstractNumId w:val="0"/>
  </w:num>
  <w:num w:numId="3" w16cid:durableId="11932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B0"/>
    <w:rsid w:val="00003E20"/>
    <w:rsid w:val="00021804"/>
    <w:rsid w:val="00024780"/>
    <w:rsid w:val="0003686B"/>
    <w:rsid w:val="000445A9"/>
    <w:rsid w:val="00063C02"/>
    <w:rsid w:val="00067371"/>
    <w:rsid w:val="00071AB0"/>
    <w:rsid w:val="00093C16"/>
    <w:rsid w:val="000A0AF4"/>
    <w:rsid w:val="000A1A45"/>
    <w:rsid w:val="000D488C"/>
    <w:rsid w:val="000E28C7"/>
    <w:rsid w:val="000E3246"/>
    <w:rsid w:val="00105DD2"/>
    <w:rsid w:val="0013336F"/>
    <w:rsid w:val="00146684"/>
    <w:rsid w:val="00154538"/>
    <w:rsid w:val="001558DF"/>
    <w:rsid w:val="0015631E"/>
    <w:rsid w:val="001964D5"/>
    <w:rsid w:val="001D10FD"/>
    <w:rsid w:val="001D1984"/>
    <w:rsid w:val="001D7768"/>
    <w:rsid w:val="001E3423"/>
    <w:rsid w:val="001E56BB"/>
    <w:rsid w:val="001F2931"/>
    <w:rsid w:val="00220007"/>
    <w:rsid w:val="0023082C"/>
    <w:rsid w:val="00280E8C"/>
    <w:rsid w:val="0028347E"/>
    <w:rsid w:val="00285E60"/>
    <w:rsid w:val="0028772A"/>
    <w:rsid w:val="002C4E77"/>
    <w:rsid w:val="002E37BC"/>
    <w:rsid w:val="002F2F93"/>
    <w:rsid w:val="002F4784"/>
    <w:rsid w:val="00311A4A"/>
    <w:rsid w:val="0031316F"/>
    <w:rsid w:val="0031599E"/>
    <w:rsid w:val="00323350"/>
    <w:rsid w:val="003467F1"/>
    <w:rsid w:val="00347E15"/>
    <w:rsid w:val="003654BE"/>
    <w:rsid w:val="00375D61"/>
    <w:rsid w:val="003904BC"/>
    <w:rsid w:val="00396904"/>
    <w:rsid w:val="003A7871"/>
    <w:rsid w:val="003B5D65"/>
    <w:rsid w:val="003B5FA9"/>
    <w:rsid w:val="003D1134"/>
    <w:rsid w:val="003F3064"/>
    <w:rsid w:val="00406182"/>
    <w:rsid w:val="00447D4B"/>
    <w:rsid w:val="00487918"/>
    <w:rsid w:val="00496783"/>
    <w:rsid w:val="004A6A1F"/>
    <w:rsid w:val="004B5FE4"/>
    <w:rsid w:val="004D6E43"/>
    <w:rsid w:val="004E5A5B"/>
    <w:rsid w:val="00514DB8"/>
    <w:rsid w:val="005174D8"/>
    <w:rsid w:val="00526266"/>
    <w:rsid w:val="00543061"/>
    <w:rsid w:val="00550817"/>
    <w:rsid w:val="005761E5"/>
    <w:rsid w:val="00591F00"/>
    <w:rsid w:val="005A73E4"/>
    <w:rsid w:val="005C7E12"/>
    <w:rsid w:val="005F3290"/>
    <w:rsid w:val="006244CC"/>
    <w:rsid w:val="00626203"/>
    <w:rsid w:val="00635ADA"/>
    <w:rsid w:val="006B6028"/>
    <w:rsid w:val="006C397D"/>
    <w:rsid w:val="006D4112"/>
    <w:rsid w:val="006D65CF"/>
    <w:rsid w:val="006F2065"/>
    <w:rsid w:val="00701907"/>
    <w:rsid w:val="00716501"/>
    <w:rsid w:val="0072315E"/>
    <w:rsid w:val="0073714C"/>
    <w:rsid w:val="00763AEF"/>
    <w:rsid w:val="007713E9"/>
    <w:rsid w:val="00795E5D"/>
    <w:rsid w:val="007B1447"/>
    <w:rsid w:val="007B2D72"/>
    <w:rsid w:val="007B611D"/>
    <w:rsid w:val="007C747F"/>
    <w:rsid w:val="007D1FE2"/>
    <w:rsid w:val="0081090B"/>
    <w:rsid w:val="008169C7"/>
    <w:rsid w:val="00844098"/>
    <w:rsid w:val="00847E0C"/>
    <w:rsid w:val="0088129B"/>
    <w:rsid w:val="00884BE9"/>
    <w:rsid w:val="00893E70"/>
    <w:rsid w:val="008C7587"/>
    <w:rsid w:val="008E623B"/>
    <w:rsid w:val="008F7160"/>
    <w:rsid w:val="00900315"/>
    <w:rsid w:val="00904F0D"/>
    <w:rsid w:val="00922AA2"/>
    <w:rsid w:val="0097695E"/>
    <w:rsid w:val="009769FE"/>
    <w:rsid w:val="009A10A7"/>
    <w:rsid w:val="009A4ADB"/>
    <w:rsid w:val="009A74EC"/>
    <w:rsid w:val="009C3730"/>
    <w:rsid w:val="009C5C95"/>
    <w:rsid w:val="009D2561"/>
    <w:rsid w:val="009E6A06"/>
    <w:rsid w:val="00A00CD1"/>
    <w:rsid w:val="00A31420"/>
    <w:rsid w:val="00A41E45"/>
    <w:rsid w:val="00A444AB"/>
    <w:rsid w:val="00AC5F50"/>
    <w:rsid w:val="00AC7F60"/>
    <w:rsid w:val="00AF1660"/>
    <w:rsid w:val="00AF587F"/>
    <w:rsid w:val="00B04C57"/>
    <w:rsid w:val="00B07C7D"/>
    <w:rsid w:val="00B308BF"/>
    <w:rsid w:val="00B52EE8"/>
    <w:rsid w:val="00BC5700"/>
    <w:rsid w:val="00BC6F30"/>
    <w:rsid w:val="00BD0B4C"/>
    <w:rsid w:val="00BD40E9"/>
    <w:rsid w:val="00BE2A13"/>
    <w:rsid w:val="00BE6CE9"/>
    <w:rsid w:val="00BF31D1"/>
    <w:rsid w:val="00C016F8"/>
    <w:rsid w:val="00C23154"/>
    <w:rsid w:val="00C60564"/>
    <w:rsid w:val="00C6134F"/>
    <w:rsid w:val="00C808C3"/>
    <w:rsid w:val="00C94DD2"/>
    <w:rsid w:val="00CA39C3"/>
    <w:rsid w:val="00CC4284"/>
    <w:rsid w:val="00CD67C9"/>
    <w:rsid w:val="00CE3535"/>
    <w:rsid w:val="00D017D5"/>
    <w:rsid w:val="00D02232"/>
    <w:rsid w:val="00D03BBC"/>
    <w:rsid w:val="00D55800"/>
    <w:rsid w:val="00D61E6F"/>
    <w:rsid w:val="00D6453B"/>
    <w:rsid w:val="00D73980"/>
    <w:rsid w:val="00D976EC"/>
    <w:rsid w:val="00DB5D3F"/>
    <w:rsid w:val="00DD2888"/>
    <w:rsid w:val="00DF2680"/>
    <w:rsid w:val="00E56F05"/>
    <w:rsid w:val="00E57431"/>
    <w:rsid w:val="00E977C2"/>
    <w:rsid w:val="00EB04CC"/>
    <w:rsid w:val="00EB65EC"/>
    <w:rsid w:val="00ED3C95"/>
    <w:rsid w:val="00F0215B"/>
    <w:rsid w:val="00F51916"/>
    <w:rsid w:val="00F57012"/>
    <w:rsid w:val="00F7108E"/>
    <w:rsid w:val="00F825A3"/>
    <w:rsid w:val="00FB0D08"/>
    <w:rsid w:val="00FB14E6"/>
    <w:rsid w:val="00FD18E8"/>
    <w:rsid w:val="00FE0C6C"/>
    <w:rsid w:val="00FE3D75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47D76"/>
  <w15:chartTrackingRefBased/>
  <w15:docId w15:val="{C1FE20CB-C390-A947-9852-3DA27877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1AB0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pl-berschrift1">
    <w:name w:val="dipl-überschrift1"/>
    <w:basedOn w:val="Standard"/>
    <w:next w:val="Standard"/>
    <w:link w:val="dipl-berschrift1Zchn"/>
    <w:autoRedefine/>
    <w:qFormat/>
    <w:rsid w:val="002F4784"/>
    <w:pPr>
      <w:pageBreakBefore/>
      <w:numPr>
        <w:numId w:val="3"/>
      </w:numPr>
      <w:spacing w:after="120"/>
      <w:outlineLvl w:val="0"/>
    </w:pPr>
    <w:rPr>
      <w:rFonts w:ascii="Arial" w:eastAsiaTheme="minorHAnsi" w:hAnsi="Arial" w:cstheme="minorBidi"/>
      <w:b/>
      <w:kern w:val="2"/>
      <w:sz w:val="28"/>
      <w:lang w:eastAsia="en-US"/>
      <w14:ligatures w14:val="standardContextual"/>
    </w:rPr>
  </w:style>
  <w:style w:type="character" w:customStyle="1" w:styleId="dipl-berschrift1Zchn">
    <w:name w:val="dipl-überschrift1 Zchn"/>
    <w:basedOn w:val="Absatz-Standardschriftart"/>
    <w:link w:val="dipl-berschrift1"/>
    <w:rsid w:val="002F4784"/>
    <w:rPr>
      <w:rFonts w:ascii="Arial" w:hAnsi="Arial"/>
      <w:b/>
      <w:sz w:val="28"/>
    </w:rPr>
  </w:style>
  <w:style w:type="paragraph" w:customStyle="1" w:styleId="diplstandardAbbildung">
    <w:name w:val="dipl_standard_Abbildung"/>
    <w:link w:val="diplstandardAbbildungZchn"/>
    <w:qFormat/>
    <w:rsid w:val="002F4784"/>
    <w:pPr>
      <w:spacing w:before="120" w:after="120"/>
      <w:jc w:val="both"/>
    </w:pPr>
    <w:rPr>
      <w:rFonts w:ascii="Arial" w:hAnsi="Arial"/>
    </w:rPr>
  </w:style>
  <w:style w:type="character" w:customStyle="1" w:styleId="diplstandardAbbildungZchn">
    <w:name w:val="dipl_standard_Abbildung Zchn"/>
    <w:basedOn w:val="Absatz-Standardschriftart"/>
    <w:link w:val="diplstandardAbbildung"/>
    <w:rsid w:val="002F4784"/>
    <w:rPr>
      <w:rFonts w:ascii="Arial" w:hAnsi="Arial"/>
    </w:rPr>
  </w:style>
  <w:style w:type="paragraph" w:customStyle="1" w:styleId="AbbildungenDiss">
    <w:name w:val="Abbildungen_Diss"/>
    <w:basedOn w:val="Standard"/>
    <w:qFormat/>
    <w:rsid w:val="002F4784"/>
    <w:pPr>
      <w:spacing w:before="120" w:after="120"/>
      <w:jc w:val="both"/>
    </w:pPr>
    <w:rPr>
      <w:rFonts w:ascii="Arial" w:hAnsi="Arial"/>
      <w:color w:val="000000" w:themeColor="text1"/>
      <w:kern w:val="2"/>
      <w:sz w:val="20"/>
      <w:szCs w:val="20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071A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1AB0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59"/>
    <w:rsid w:val="00071AB0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71A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Weiß</dc:creator>
  <cp:keywords/>
  <dc:description/>
  <cp:lastModifiedBy>Lukas Weiß</cp:lastModifiedBy>
  <cp:revision>2</cp:revision>
  <dcterms:created xsi:type="dcterms:W3CDTF">2024-05-16T16:01:00Z</dcterms:created>
  <dcterms:modified xsi:type="dcterms:W3CDTF">2024-05-16T16:02:00Z</dcterms:modified>
</cp:coreProperties>
</file>